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D40E" w14:textId="6CD2F581" w:rsidR="005A6B94" w:rsidRPr="00FE314B" w:rsidRDefault="005A6B94" w:rsidP="00E97EF6">
      <w:pPr>
        <w:spacing w:before="6" w:after="0" w:line="240" w:lineRule="auto"/>
        <w:ind w:right="57"/>
        <w:jc w:val="center"/>
        <w:rPr>
          <w:rFonts w:eastAsia="Arial Narrow" w:cstheme="minorHAnsi"/>
          <w:color w:val="00B050"/>
          <w:sz w:val="40"/>
          <w:szCs w:val="40"/>
        </w:rPr>
      </w:pPr>
      <w:r w:rsidRPr="00FE314B">
        <w:rPr>
          <w:rFonts w:eastAsia="Arial Narrow" w:cstheme="minorHAnsi"/>
          <w:b/>
          <w:bCs/>
          <w:color w:val="00B050"/>
          <w:spacing w:val="-1"/>
          <w:sz w:val="40"/>
          <w:szCs w:val="40"/>
        </w:rPr>
        <w:t>P</w:t>
      </w:r>
      <w:r w:rsidRPr="00FE314B">
        <w:rPr>
          <w:rFonts w:eastAsia="Arial Narrow" w:cstheme="minorHAnsi"/>
          <w:b/>
          <w:bCs/>
          <w:color w:val="00B050"/>
          <w:sz w:val="40"/>
          <w:szCs w:val="40"/>
        </w:rPr>
        <w:t>R</w:t>
      </w:r>
      <w:r w:rsidRPr="00FE314B">
        <w:rPr>
          <w:rFonts w:eastAsia="Arial Narrow" w:cstheme="minorHAnsi"/>
          <w:b/>
          <w:bCs/>
          <w:color w:val="00B050"/>
          <w:spacing w:val="-1"/>
          <w:sz w:val="40"/>
          <w:szCs w:val="40"/>
        </w:rPr>
        <w:t>O</w:t>
      </w:r>
      <w:r w:rsidRPr="00FE314B">
        <w:rPr>
          <w:rFonts w:eastAsia="Arial Narrow" w:cstheme="minorHAnsi"/>
          <w:b/>
          <w:bCs/>
          <w:color w:val="00B050"/>
          <w:sz w:val="40"/>
          <w:szCs w:val="40"/>
        </w:rPr>
        <w:t>CURA</w:t>
      </w:r>
      <w:r w:rsidRPr="00FE314B">
        <w:rPr>
          <w:rFonts w:eastAsia="Arial Narrow" w:cstheme="minorHAnsi"/>
          <w:b/>
          <w:bCs/>
          <w:color w:val="00B050"/>
          <w:spacing w:val="-17"/>
          <w:sz w:val="40"/>
          <w:szCs w:val="40"/>
        </w:rPr>
        <w:t xml:space="preserve"> </w:t>
      </w:r>
      <w:r w:rsidRPr="00FE314B">
        <w:rPr>
          <w:rFonts w:eastAsia="Arial Narrow" w:cstheme="minorHAnsi"/>
          <w:b/>
          <w:bCs/>
          <w:color w:val="00B050"/>
          <w:spacing w:val="-1"/>
          <w:w w:val="99"/>
          <w:sz w:val="40"/>
          <w:szCs w:val="40"/>
        </w:rPr>
        <w:t>SPE</w:t>
      </w:r>
      <w:r w:rsidRPr="00FE314B">
        <w:rPr>
          <w:rFonts w:eastAsia="Arial Narrow" w:cstheme="minorHAnsi"/>
          <w:b/>
          <w:bCs/>
          <w:color w:val="00B050"/>
          <w:w w:val="99"/>
          <w:sz w:val="40"/>
          <w:szCs w:val="40"/>
        </w:rPr>
        <w:t>C</w:t>
      </w:r>
      <w:r w:rsidRPr="00FE314B">
        <w:rPr>
          <w:rFonts w:eastAsia="Arial Narrow" w:cstheme="minorHAnsi"/>
          <w:b/>
          <w:bCs/>
          <w:color w:val="00B050"/>
          <w:spacing w:val="-1"/>
          <w:w w:val="99"/>
          <w:sz w:val="40"/>
          <w:szCs w:val="40"/>
        </w:rPr>
        <w:t>I</w:t>
      </w:r>
      <w:r w:rsidRPr="00FE314B">
        <w:rPr>
          <w:rFonts w:eastAsia="Arial Narrow" w:cstheme="minorHAnsi"/>
          <w:b/>
          <w:bCs/>
          <w:color w:val="00B050"/>
          <w:w w:val="99"/>
          <w:sz w:val="40"/>
          <w:szCs w:val="40"/>
        </w:rPr>
        <w:t xml:space="preserve">ALE 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per la sottoscrizione digitale e/o presentazione telematica di</w:t>
      </w:r>
      <w:r w:rsidRPr="00FE314B">
        <w:rPr>
          <w:rFonts w:eastAsia="Arial Narrow" w:cstheme="minorHAnsi"/>
          <w:b/>
          <w:bCs/>
          <w:color w:val="00B050"/>
          <w:spacing w:val="-1"/>
          <w:position w:val="-2"/>
          <w:sz w:val="40"/>
          <w:szCs w:val="40"/>
        </w:rPr>
        <w:t xml:space="preserve"> 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pr</w:t>
      </w:r>
      <w:r w:rsidRPr="00FE314B">
        <w:rPr>
          <w:rFonts w:eastAsia="Arial Narrow" w:cstheme="minorHAnsi"/>
          <w:b/>
          <w:bCs/>
          <w:color w:val="00B050"/>
          <w:spacing w:val="-1"/>
          <w:position w:val="-2"/>
          <w:sz w:val="40"/>
          <w:szCs w:val="40"/>
        </w:rPr>
        <w:t>a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t</w:t>
      </w:r>
      <w:r w:rsidRPr="00FE314B">
        <w:rPr>
          <w:rFonts w:eastAsia="Arial Narrow" w:cstheme="minorHAnsi"/>
          <w:b/>
          <w:bCs/>
          <w:color w:val="00B050"/>
          <w:spacing w:val="-1"/>
          <w:position w:val="-2"/>
          <w:sz w:val="40"/>
          <w:szCs w:val="40"/>
        </w:rPr>
        <w:t>i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c</w:t>
      </w:r>
      <w:r w:rsidRPr="00FE314B">
        <w:rPr>
          <w:rFonts w:eastAsia="Arial Narrow" w:cstheme="minorHAnsi"/>
          <w:b/>
          <w:bCs/>
          <w:color w:val="00B050"/>
          <w:spacing w:val="1"/>
          <w:position w:val="-2"/>
          <w:sz w:val="40"/>
          <w:szCs w:val="40"/>
        </w:rPr>
        <w:t>h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e</w:t>
      </w:r>
      <w:r w:rsidRPr="00FE314B">
        <w:rPr>
          <w:rFonts w:eastAsia="Arial Narrow" w:cstheme="minorHAnsi"/>
          <w:b/>
          <w:bCs/>
          <w:color w:val="00B050"/>
          <w:spacing w:val="-10"/>
          <w:position w:val="-2"/>
          <w:sz w:val="40"/>
          <w:szCs w:val="40"/>
        </w:rPr>
        <w:t xml:space="preserve"> </w:t>
      </w:r>
      <w:r w:rsidRPr="00FE314B">
        <w:rPr>
          <w:rFonts w:eastAsia="Arial Narrow" w:cstheme="minorHAnsi"/>
          <w:b/>
          <w:bCs/>
          <w:color w:val="00B050"/>
          <w:position w:val="-2"/>
          <w:sz w:val="40"/>
          <w:szCs w:val="40"/>
        </w:rPr>
        <w:t>edilizie</w:t>
      </w:r>
    </w:p>
    <w:p w14:paraId="3D97B20C" w14:textId="77777777" w:rsidR="00D92593" w:rsidRPr="00FE314B" w:rsidRDefault="00D92593" w:rsidP="00D9259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CF9EAFC" w14:textId="77777777" w:rsidR="009F6116" w:rsidRDefault="003F3C51" w:rsidP="00044C1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>L</w:t>
      </w:r>
      <w:r w:rsidR="00044C13" w:rsidRPr="00FE314B">
        <w:rPr>
          <w:rFonts w:cstheme="minorHAnsi"/>
          <w:sz w:val="24"/>
          <w:szCs w:val="24"/>
        </w:rPr>
        <w:t>a PROCURA SPECIALE</w:t>
      </w:r>
      <w:r w:rsidRPr="00FE314B">
        <w:rPr>
          <w:rFonts w:cstheme="minorHAnsi"/>
          <w:sz w:val="24"/>
          <w:szCs w:val="24"/>
        </w:rPr>
        <w:t xml:space="preserve"> è</w:t>
      </w:r>
      <w:r w:rsidR="00044C13" w:rsidRPr="00FE314B">
        <w:rPr>
          <w:rFonts w:cstheme="minorHAnsi"/>
          <w:sz w:val="24"/>
          <w:szCs w:val="24"/>
        </w:rPr>
        <w:t xml:space="preserve"> un atto giuridico, rivolto a terzi, con cui un soggetto (detto </w:t>
      </w:r>
      <w:r w:rsidR="00044C13" w:rsidRPr="00FE314B">
        <w:rPr>
          <w:rFonts w:cstheme="minorHAnsi"/>
          <w:i/>
          <w:iCs/>
          <w:sz w:val="24"/>
          <w:szCs w:val="24"/>
        </w:rPr>
        <w:t>rappresentato</w:t>
      </w:r>
      <w:r w:rsidR="00044C13" w:rsidRPr="00FE314B">
        <w:rPr>
          <w:rFonts w:cstheme="minorHAnsi"/>
          <w:sz w:val="24"/>
          <w:szCs w:val="24"/>
        </w:rPr>
        <w:t xml:space="preserve">) conferisce il potere di agire in suo nome e nel suo interesse ad un altro soggetto (detto </w:t>
      </w:r>
      <w:r w:rsidR="00044C13" w:rsidRPr="00FE314B">
        <w:rPr>
          <w:rFonts w:cstheme="minorHAnsi"/>
          <w:i/>
          <w:iCs/>
          <w:sz w:val="24"/>
          <w:szCs w:val="24"/>
        </w:rPr>
        <w:t>rappresentante</w:t>
      </w:r>
      <w:r w:rsidR="00044C13" w:rsidRPr="00FE314B">
        <w:rPr>
          <w:rFonts w:cstheme="minorHAnsi"/>
          <w:sz w:val="24"/>
          <w:szCs w:val="24"/>
        </w:rPr>
        <w:t>)</w:t>
      </w:r>
      <w:r w:rsidR="00B97A33" w:rsidRPr="00FE314B">
        <w:rPr>
          <w:rFonts w:cstheme="minorHAnsi"/>
          <w:sz w:val="24"/>
          <w:szCs w:val="24"/>
        </w:rPr>
        <w:t xml:space="preserve">. </w:t>
      </w:r>
    </w:p>
    <w:p w14:paraId="193B634E" w14:textId="33FB9750" w:rsidR="00044C13" w:rsidRPr="00FE314B" w:rsidRDefault="009F6116" w:rsidP="00044C1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base alla normativa che disciplina </w:t>
      </w:r>
      <w:r w:rsidR="00D47F33">
        <w:rPr>
          <w:rFonts w:cstheme="minorHAnsi"/>
          <w:sz w:val="24"/>
          <w:szCs w:val="24"/>
        </w:rPr>
        <w:t>la Procura speciale</w:t>
      </w:r>
      <w:r w:rsidR="00036AA7">
        <w:rPr>
          <w:rFonts w:cstheme="minorHAnsi"/>
          <w:sz w:val="24"/>
          <w:szCs w:val="24"/>
        </w:rPr>
        <w:t xml:space="preserve"> – riportata sotto - </w:t>
      </w:r>
      <w:r w:rsidR="00D47F33">
        <w:rPr>
          <w:rFonts w:cstheme="minorHAnsi"/>
          <w:sz w:val="24"/>
          <w:szCs w:val="24"/>
        </w:rPr>
        <w:t xml:space="preserve">essa </w:t>
      </w:r>
      <w:r w:rsidR="00044C13" w:rsidRPr="00FE314B">
        <w:rPr>
          <w:rFonts w:cstheme="minorHAnsi"/>
          <w:sz w:val="24"/>
          <w:szCs w:val="24"/>
        </w:rPr>
        <w:t xml:space="preserve">soddisfa </w:t>
      </w:r>
      <w:r w:rsidR="00DE64D5">
        <w:rPr>
          <w:rFonts w:cstheme="minorHAnsi"/>
          <w:sz w:val="24"/>
          <w:szCs w:val="24"/>
        </w:rPr>
        <w:t>pienament</w:t>
      </w:r>
      <w:r w:rsidR="00044C13" w:rsidRPr="00FE314B">
        <w:rPr>
          <w:rFonts w:cstheme="minorHAnsi"/>
          <w:sz w:val="24"/>
          <w:szCs w:val="24"/>
        </w:rPr>
        <w:t xml:space="preserve">e </w:t>
      </w:r>
      <w:r w:rsidR="00DE64D5">
        <w:rPr>
          <w:rFonts w:cstheme="minorHAnsi"/>
          <w:sz w:val="24"/>
          <w:szCs w:val="24"/>
        </w:rPr>
        <w:t xml:space="preserve">le </w:t>
      </w:r>
      <w:r w:rsidR="00044C13" w:rsidRPr="00FE314B">
        <w:rPr>
          <w:rFonts w:cstheme="minorHAnsi"/>
          <w:sz w:val="24"/>
          <w:szCs w:val="24"/>
        </w:rPr>
        <w:t xml:space="preserve">esigenze di mandato richieste da una pratica edilizia. </w:t>
      </w:r>
    </w:p>
    <w:p w14:paraId="228283C7" w14:textId="77777777" w:rsidR="006B47DA" w:rsidRPr="005B369C" w:rsidRDefault="00D92593" w:rsidP="00695AE2">
      <w:pPr>
        <w:pStyle w:val="Paragrafoelenco"/>
        <w:numPr>
          <w:ilvl w:val="0"/>
          <w:numId w:val="3"/>
        </w:numPr>
        <w:spacing w:before="120" w:after="0" w:line="240" w:lineRule="auto"/>
        <w:ind w:hanging="720"/>
        <w:jc w:val="both"/>
        <w:rPr>
          <w:rFonts w:cstheme="minorHAnsi"/>
          <w:b/>
          <w:bCs/>
          <w:sz w:val="24"/>
          <w:szCs w:val="24"/>
        </w:rPr>
      </w:pPr>
      <w:r w:rsidRPr="005B369C">
        <w:rPr>
          <w:rFonts w:cstheme="minorHAnsi"/>
          <w:b/>
          <w:bCs/>
          <w:sz w:val="24"/>
          <w:szCs w:val="24"/>
        </w:rPr>
        <w:t xml:space="preserve">Codice civile </w:t>
      </w:r>
    </w:p>
    <w:p w14:paraId="6233CF3F" w14:textId="32BF669F" w:rsidR="00242859" w:rsidRPr="001B2E93" w:rsidRDefault="007F218E" w:rsidP="00242859">
      <w:pPr>
        <w:pStyle w:val="Paragrafoelenco"/>
        <w:spacing w:before="120" w:after="0" w:line="240" w:lineRule="auto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>l’</w:t>
      </w:r>
      <w:r w:rsidR="00D856D7">
        <w:rPr>
          <w:rFonts w:cstheme="minorHAnsi"/>
          <w:sz w:val="24"/>
          <w:szCs w:val="24"/>
        </w:rPr>
        <w:t>A</w:t>
      </w:r>
      <w:r w:rsidR="00D92593" w:rsidRPr="000A175A">
        <w:rPr>
          <w:rFonts w:cstheme="minorHAnsi"/>
          <w:sz w:val="24"/>
          <w:szCs w:val="24"/>
        </w:rPr>
        <w:t xml:space="preserve">rt. 1387 </w:t>
      </w:r>
      <w:r w:rsidR="00EC53BB" w:rsidRPr="000A175A">
        <w:rPr>
          <w:rFonts w:cstheme="minorHAnsi"/>
          <w:sz w:val="24"/>
          <w:szCs w:val="24"/>
        </w:rPr>
        <w:t xml:space="preserve">“Fonti della rappresentanza” </w:t>
      </w:r>
      <w:r w:rsidR="00D92593" w:rsidRPr="000A175A">
        <w:rPr>
          <w:rFonts w:cstheme="minorHAnsi"/>
          <w:sz w:val="24"/>
          <w:szCs w:val="24"/>
        </w:rPr>
        <w:t>e seguenti</w:t>
      </w:r>
      <w:r w:rsidR="000A175A">
        <w:rPr>
          <w:rFonts w:cstheme="minorHAnsi"/>
          <w:sz w:val="24"/>
          <w:szCs w:val="24"/>
        </w:rPr>
        <w:t xml:space="preserve"> </w:t>
      </w:r>
      <w:r w:rsidR="000A175A" w:rsidRPr="000F7787">
        <w:rPr>
          <w:rFonts w:cstheme="minorHAnsi"/>
          <w:sz w:val="24"/>
          <w:szCs w:val="24"/>
        </w:rPr>
        <w:t>prevede</w:t>
      </w:r>
      <w:r w:rsidR="00484122" w:rsidRPr="000F7787">
        <w:rPr>
          <w:rFonts w:cstheme="minorHAnsi"/>
          <w:sz w:val="24"/>
          <w:szCs w:val="24"/>
        </w:rPr>
        <w:t xml:space="preserve"> che</w:t>
      </w:r>
      <w:r w:rsidR="000A175A" w:rsidRPr="000F7787">
        <w:rPr>
          <w:rFonts w:cstheme="minorHAnsi"/>
          <w:sz w:val="24"/>
          <w:szCs w:val="24"/>
        </w:rPr>
        <w:t xml:space="preserve"> </w:t>
      </w:r>
      <w:r w:rsidR="00242859" w:rsidRPr="000F7787">
        <w:rPr>
          <w:rFonts w:cstheme="minorHAnsi"/>
          <w:sz w:val="24"/>
          <w:szCs w:val="24"/>
        </w:rPr>
        <w:t>“</w:t>
      </w:r>
      <w:r w:rsidR="00242859" w:rsidRPr="000F7787">
        <w:rPr>
          <w:rFonts w:cstheme="minorHAnsi"/>
          <w:i/>
          <w:iCs/>
          <w:sz w:val="24"/>
          <w:szCs w:val="24"/>
        </w:rPr>
        <w:t xml:space="preserve">Il potere </w:t>
      </w:r>
      <w:r w:rsidR="00242859" w:rsidRPr="00C271CF">
        <w:rPr>
          <w:rFonts w:cstheme="minorHAnsi"/>
          <w:i/>
          <w:iCs/>
          <w:sz w:val="24"/>
          <w:szCs w:val="24"/>
        </w:rPr>
        <w:t>di rappresentanza è conferito dalla legge ovvero dall'interessato</w:t>
      </w:r>
      <w:r w:rsidR="001D5E34" w:rsidRPr="00C271CF">
        <w:rPr>
          <w:rFonts w:cstheme="minorHAnsi"/>
          <w:i/>
          <w:iCs/>
          <w:sz w:val="24"/>
          <w:szCs w:val="24"/>
        </w:rPr>
        <w:t>”</w:t>
      </w:r>
    </w:p>
    <w:p w14:paraId="615BA4CF" w14:textId="77777777" w:rsidR="00FE314B" w:rsidRDefault="00FE314B" w:rsidP="00FE314B">
      <w:pPr>
        <w:pStyle w:val="Paragrafoelenco"/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985248E" w14:textId="32DC291B" w:rsidR="00D92593" w:rsidRPr="005B369C" w:rsidRDefault="00D92593" w:rsidP="00695AE2">
      <w:pPr>
        <w:pStyle w:val="Paragrafoelenco"/>
        <w:numPr>
          <w:ilvl w:val="0"/>
          <w:numId w:val="3"/>
        </w:numPr>
        <w:spacing w:before="120" w:after="0" w:line="240" w:lineRule="auto"/>
        <w:ind w:hanging="720"/>
        <w:jc w:val="both"/>
        <w:rPr>
          <w:rFonts w:cstheme="minorHAnsi"/>
          <w:b/>
          <w:bCs/>
          <w:sz w:val="24"/>
          <w:szCs w:val="24"/>
        </w:rPr>
      </w:pPr>
      <w:r w:rsidRPr="005B369C">
        <w:rPr>
          <w:rFonts w:cstheme="minorHAnsi"/>
          <w:b/>
          <w:bCs/>
          <w:sz w:val="24"/>
          <w:szCs w:val="24"/>
        </w:rPr>
        <w:t>DPR 445/2000 - TESTO UNICO DELLE DISPOSIZIONI LEGISLATIVE E REGOLAMENTARI IN MATERIA DI DOCUMENTAZIONE E AMMINISTRATIVA</w:t>
      </w:r>
      <w:r w:rsidR="0055384E" w:rsidRPr="005B369C">
        <w:rPr>
          <w:rFonts w:cstheme="minorHAnsi"/>
          <w:b/>
          <w:bCs/>
          <w:sz w:val="24"/>
          <w:szCs w:val="24"/>
        </w:rPr>
        <w:t>:</w:t>
      </w:r>
    </w:p>
    <w:p w14:paraId="2A6EFA03" w14:textId="36AAF050" w:rsidR="002641DC" w:rsidRPr="000F7787" w:rsidRDefault="00B467C6" w:rsidP="00C47D45">
      <w:pPr>
        <w:pStyle w:val="Paragrafoelenco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97F81">
        <w:rPr>
          <w:rFonts w:cstheme="minorHAnsi"/>
          <w:sz w:val="24"/>
          <w:szCs w:val="24"/>
        </w:rPr>
        <w:t>l’</w:t>
      </w:r>
      <w:r w:rsidR="00D856D7" w:rsidRPr="00C47D45">
        <w:rPr>
          <w:rFonts w:cstheme="minorHAnsi"/>
          <w:sz w:val="24"/>
          <w:szCs w:val="24"/>
          <w:u w:val="single"/>
        </w:rPr>
        <w:t xml:space="preserve">Articolo </w:t>
      </w:r>
      <w:r w:rsidR="00A13055" w:rsidRPr="00C47D45">
        <w:rPr>
          <w:rFonts w:cstheme="minorHAnsi"/>
          <w:sz w:val="24"/>
          <w:szCs w:val="24"/>
          <w:u w:val="single"/>
        </w:rPr>
        <w:t>38</w:t>
      </w:r>
      <w:r w:rsidR="006068DC" w:rsidRPr="00C47D45">
        <w:rPr>
          <w:rFonts w:cstheme="minorHAnsi"/>
          <w:sz w:val="24"/>
          <w:szCs w:val="24"/>
          <w:u w:val="single"/>
        </w:rPr>
        <w:t xml:space="preserve"> - Modalità di invio e sottoscrizione delle istanze</w:t>
      </w:r>
      <w:r w:rsidR="00B37AF3" w:rsidRPr="00C47D45">
        <w:rPr>
          <w:rFonts w:cstheme="minorHAnsi"/>
          <w:sz w:val="24"/>
          <w:szCs w:val="24"/>
        </w:rPr>
        <w:t xml:space="preserve">, </w:t>
      </w:r>
      <w:r w:rsidR="008869F5" w:rsidRPr="00C47D45">
        <w:rPr>
          <w:rFonts w:cstheme="minorHAnsi"/>
          <w:sz w:val="24"/>
          <w:szCs w:val="24"/>
        </w:rPr>
        <w:t>comma 1</w:t>
      </w:r>
      <w:r w:rsidR="00B37AF3" w:rsidRPr="00C47D45">
        <w:rPr>
          <w:rFonts w:cstheme="minorHAnsi"/>
          <w:sz w:val="24"/>
          <w:szCs w:val="24"/>
        </w:rPr>
        <w:t>,</w:t>
      </w:r>
      <w:r w:rsidR="008869F5" w:rsidRPr="00C47D45">
        <w:rPr>
          <w:rFonts w:cstheme="minorHAnsi"/>
          <w:sz w:val="24"/>
          <w:szCs w:val="24"/>
        </w:rPr>
        <w:t xml:space="preserve"> specifica “</w:t>
      </w:r>
      <w:r w:rsidR="008869F5" w:rsidRPr="00C47D45">
        <w:rPr>
          <w:rFonts w:cstheme="minorHAnsi"/>
          <w:i/>
          <w:iCs/>
          <w:sz w:val="24"/>
          <w:szCs w:val="24"/>
        </w:rPr>
        <w:t>Tutte le istanze e le dichiarazioni da presentare alla pubblica amministrazione o ai gestori o esercenti di pubblici servizi possono essere inviate anche per fax e via telematica</w:t>
      </w:r>
      <w:r w:rsidR="008869F5" w:rsidRPr="00C47D45">
        <w:rPr>
          <w:rFonts w:cstheme="minorHAnsi"/>
          <w:sz w:val="24"/>
          <w:szCs w:val="24"/>
        </w:rPr>
        <w:t>.”</w:t>
      </w:r>
      <w:r w:rsidR="002641DC" w:rsidRPr="00C47D45">
        <w:rPr>
          <w:rFonts w:cstheme="minorHAnsi"/>
          <w:sz w:val="24"/>
          <w:szCs w:val="24"/>
        </w:rPr>
        <w:t xml:space="preserve"> Il comma 3-bis del medesimo articolo stabilisce, inoltre, che “</w:t>
      </w:r>
      <w:r w:rsidR="002641DC" w:rsidRPr="00C47D45">
        <w:rPr>
          <w:rFonts w:cstheme="minorHAnsi"/>
          <w:i/>
          <w:iCs/>
          <w:sz w:val="24"/>
          <w:szCs w:val="24"/>
        </w:rPr>
        <w:t xml:space="preserve">il potere di rappresentanza per la formazione e la presentazione di istanze, progetti, dichiarazioni e altre attestazioni nonché per il ritiro di atti e documenti presso le pubbliche amministrazioni e i gestori o esercenti di pubblici servizi può essere validamente-conferito ad altro soggetto </w:t>
      </w:r>
      <w:r w:rsidR="002641DC" w:rsidRPr="000F7787">
        <w:sym w:font="Symbol" w:char="F05B"/>
      </w:r>
      <w:r w:rsidR="002641DC" w:rsidRPr="000F7787">
        <w:rPr>
          <w:rFonts w:cstheme="minorHAnsi"/>
          <w:i/>
          <w:iCs/>
          <w:sz w:val="24"/>
          <w:szCs w:val="24"/>
        </w:rPr>
        <w:t>…</w:t>
      </w:r>
      <w:r w:rsidR="002641DC" w:rsidRPr="000F7787">
        <w:sym w:font="Symbol" w:char="F05D"/>
      </w:r>
      <w:r w:rsidR="00484122" w:rsidRPr="000F7787">
        <w:t>”</w:t>
      </w:r>
      <w:r w:rsidR="002641DC" w:rsidRPr="000F7787">
        <w:rPr>
          <w:rFonts w:cstheme="minorHAnsi"/>
          <w:sz w:val="24"/>
          <w:szCs w:val="24"/>
        </w:rPr>
        <w:t>;</w:t>
      </w:r>
    </w:p>
    <w:p w14:paraId="43D83F8A" w14:textId="5667AB92" w:rsidR="00D92593" w:rsidRPr="00C47D45" w:rsidRDefault="00797F81" w:rsidP="00C47D45">
      <w:pPr>
        <w:pStyle w:val="Paragrafoelenco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</w:t>
      </w:r>
      <w:r w:rsidR="00D856D7" w:rsidRPr="00C47D45">
        <w:rPr>
          <w:rFonts w:cstheme="minorHAnsi"/>
          <w:sz w:val="24"/>
          <w:szCs w:val="24"/>
          <w:u w:val="single"/>
        </w:rPr>
        <w:t xml:space="preserve">Articolo </w:t>
      </w:r>
      <w:r w:rsidR="00D92593" w:rsidRPr="00C47D45">
        <w:rPr>
          <w:rFonts w:cstheme="minorHAnsi"/>
          <w:sz w:val="24"/>
          <w:szCs w:val="24"/>
          <w:u w:val="single"/>
        </w:rPr>
        <w:t xml:space="preserve">46 </w:t>
      </w:r>
      <w:r w:rsidR="00695AE2" w:rsidRPr="00C47D45">
        <w:rPr>
          <w:rFonts w:cstheme="minorHAnsi"/>
          <w:sz w:val="24"/>
          <w:szCs w:val="24"/>
          <w:u w:val="single"/>
        </w:rPr>
        <w:t xml:space="preserve">- </w:t>
      </w:r>
      <w:r w:rsidR="00D92593" w:rsidRPr="00C47D45">
        <w:rPr>
          <w:rFonts w:cstheme="minorHAnsi"/>
          <w:sz w:val="24"/>
          <w:szCs w:val="24"/>
          <w:u w:val="single"/>
        </w:rPr>
        <w:t>Dichiarazioni sostitutive di certificazioni</w:t>
      </w:r>
      <w:r w:rsidR="00852F93">
        <w:rPr>
          <w:rFonts w:cstheme="minorHAnsi"/>
          <w:sz w:val="24"/>
          <w:szCs w:val="24"/>
          <w:u w:val="single"/>
        </w:rPr>
        <w:t>,</w:t>
      </w:r>
      <w:r w:rsidR="00767F25" w:rsidRPr="00C47D45">
        <w:rPr>
          <w:rFonts w:cstheme="minorHAnsi"/>
          <w:sz w:val="24"/>
          <w:szCs w:val="24"/>
        </w:rPr>
        <w:t xml:space="preserve"> </w:t>
      </w:r>
      <w:r w:rsidR="00B53698" w:rsidRPr="00C47D45">
        <w:rPr>
          <w:rFonts w:cstheme="minorHAnsi"/>
          <w:sz w:val="24"/>
          <w:szCs w:val="24"/>
        </w:rPr>
        <w:t xml:space="preserve">precisa </w:t>
      </w:r>
      <w:r w:rsidR="00530965" w:rsidRPr="00C47D45">
        <w:rPr>
          <w:rFonts w:cstheme="minorHAnsi"/>
          <w:sz w:val="24"/>
          <w:szCs w:val="24"/>
        </w:rPr>
        <w:t xml:space="preserve">che la </w:t>
      </w:r>
      <w:r w:rsidR="00767F25" w:rsidRPr="00C47D45">
        <w:rPr>
          <w:rFonts w:cstheme="minorHAnsi"/>
        </w:rPr>
        <w:t>“</w:t>
      </w:r>
      <w:r w:rsidR="00767F25" w:rsidRPr="00C47D45">
        <w:rPr>
          <w:rFonts w:cstheme="minorHAnsi"/>
          <w:i/>
          <w:iCs/>
          <w:sz w:val="24"/>
          <w:szCs w:val="24"/>
        </w:rPr>
        <w:t xml:space="preserve">qualità di legale rappresentante di persone fisiche o giuridiche, di tutore, di curatore e simili” </w:t>
      </w:r>
      <w:r w:rsidR="00767F25" w:rsidRPr="00C47D45">
        <w:rPr>
          <w:rFonts w:cstheme="minorHAnsi"/>
          <w:sz w:val="24"/>
          <w:szCs w:val="24"/>
        </w:rPr>
        <w:t>è comprovata</w:t>
      </w:r>
      <w:r w:rsidR="00767F25" w:rsidRPr="00C47D45">
        <w:rPr>
          <w:rFonts w:cstheme="minorHAnsi"/>
          <w:i/>
          <w:iCs/>
          <w:sz w:val="24"/>
          <w:szCs w:val="24"/>
        </w:rPr>
        <w:t xml:space="preserve"> “con dichiarazioni, anche contestuali all'istanza, sottoscritte dall'interessato e prodotte in sostituzione delle normali certificazioni</w:t>
      </w:r>
      <w:r w:rsidR="00767F25" w:rsidRPr="00C47D45">
        <w:rPr>
          <w:rFonts w:eastAsia="Times New Roman" w:cstheme="minorHAnsi"/>
          <w:color w:val="19191A"/>
        </w:rPr>
        <w:t>”</w:t>
      </w:r>
      <w:r w:rsidR="007A2BCA" w:rsidRPr="00C47D45">
        <w:rPr>
          <w:rFonts w:eastAsia="Times New Roman" w:cstheme="minorHAnsi"/>
          <w:color w:val="19191A"/>
        </w:rPr>
        <w:t>;</w:t>
      </w:r>
    </w:p>
    <w:p w14:paraId="5A0A76CF" w14:textId="0AC33B3C" w:rsidR="00D92593" w:rsidRPr="00C47D45" w:rsidRDefault="00C64FA0" w:rsidP="00C47D4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l’</w:t>
      </w:r>
      <w:r w:rsidR="007A2BCA" w:rsidRPr="00C47D45">
        <w:rPr>
          <w:rFonts w:cstheme="minorHAnsi"/>
          <w:sz w:val="24"/>
          <w:szCs w:val="24"/>
          <w:u w:val="single"/>
        </w:rPr>
        <w:t xml:space="preserve">Articolo </w:t>
      </w:r>
      <w:r w:rsidR="00D92593" w:rsidRPr="00C47D45">
        <w:rPr>
          <w:rFonts w:cstheme="minorHAnsi"/>
          <w:sz w:val="24"/>
          <w:szCs w:val="24"/>
          <w:u w:val="single"/>
        </w:rPr>
        <w:t xml:space="preserve">47 </w:t>
      </w:r>
      <w:r w:rsidR="00695AE2" w:rsidRPr="00C47D45">
        <w:rPr>
          <w:rFonts w:cstheme="minorHAnsi"/>
          <w:sz w:val="24"/>
          <w:szCs w:val="24"/>
          <w:u w:val="single"/>
        </w:rPr>
        <w:t xml:space="preserve">- </w:t>
      </w:r>
      <w:r w:rsidR="00D92593" w:rsidRPr="00C47D45">
        <w:rPr>
          <w:rFonts w:cstheme="minorHAnsi"/>
          <w:sz w:val="24"/>
          <w:szCs w:val="24"/>
          <w:u w:val="single"/>
        </w:rPr>
        <w:t>Dichiarazioni sostitutive dell’atto di notorietà</w:t>
      </w:r>
      <w:r w:rsidR="00EB58CB" w:rsidRPr="00C47D45">
        <w:rPr>
          <w:rFonts w:cstheme="minorHAnsi"/>
          <w:sz w:val="24"/>
          <w:szCs w:val="24"/>
        </w:rPr>
        <w:t xml:space="preserve">, comma 1, </w:t>
      </w:r>
      <w:r w:rsidR="00EB58CB" w:rsidRPr="00FE314B">
        <w:rPr>
          <w:rFonts w:cstheme="minorHAnsi"/>
          <w:sz w:val="24"/>
          <w:szCs w:val="24"/>
        </w:rPr>
        <w:t>prevede che “</w:t>
      </w:r>
      <w:r w:rsidR="003C30BA">
        <w:rPr>
          <w:rFonts w:cstheme="minorHAnsi"/>
          <w:sz w:val="24"/>
          <w:szCs w:val="24"/>
        </w:rPr>
        <w:t>l</w:t>
      </w:r>
      <w:r w:rsidR="00EB58CB" w:rsidRPr="00EC30B2">
        <w:rPr>
          <w:rFonts w:cstheme="minorHAnsi"/>
          <w:i/>
          <w:iCs/>
          <w:sz w:val="24"/>
          <w:szCs w:val="24"/>
        </w:rPr>
        <w:t>'atto di notorietà concernente stati, qualità personali o fatti che siano a diretta conoscenza dell'interessato è sostituito da dichiarazione resa e sottoscritta dal medesimo con la osservanza delle modalità di cui all'articolo 38</w:t>
      </w:r>
      <w:r w:rsidR="00EC30B2">
        <w:rPr>
          <w:rFonts w:eastAsia="Times New Roman" w:cstheme="minorHAnsi"/>
          <w:i/>
          <w:iCs/>
          <w:color w:val="19191A"/>
        </w:rPr>
        <w:t>”</w:t>
      </w:r>
      <w:r w:rsidR="001B1BFA">
        <w:rPr>
          <w:rFonts w:eastAsia="Times New Roman" w:cstheme="minorHAnsi"/>
          <w:i/>
          <w:iCs/>
          <w:color w:val="19191A"/>
        </w:rPr>
        <w:t>;</w:t>
      </w:r>
    </w:p>
    <w:p w14:paraId="7E0F85D7" w14:textId="1438EC72" w:rsidR="001B1BFA" w:rsidRPr="00D8473E" w:rsidRDefault="00852F93" w:rsidP="001B1BF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2F93">
        <w:rPr>
          <w:rFonts w:eastAsia="Times New Roman" w:cstheme="minorHAnsi"/>
          <w:sz w:val="24"/>
          <w:szCs w:val="24"/>
        </w:rPr>
        <w:t>l</w:t>
      </w:r>
      <w:r w:rsidR="001B1BFA" w:rsidRPr="00852F93">
        <w:rPr>
          <w:rFonts w:eastAsia="Times New Roman" w:cstheme="minorHAnsi"/>
          <w:sz w:val="24"/>
          <w:szCs w:val="24"/>
        </w:rPr>
        <w:t>’</w:t>
      </w:r>
      <w:r w:rsidR="001B1BFA" w:rsidRPr="00D8473E">
        <w:rPr>
          <w:rFonts w:eastAsia="Times New Roman" w:cstheme="minorHAnsi"/>
          <w:sz w:val="24"/>
          <w:szCs w:val="24"/>
          <w:u w:val="single"/>
        </w:rPr>
        <w:t>Articolo 73</w:t>
      </w:r>
      <w:r w:rsidR="00B00AB7" w:rsidRPr="00D8473E">
        <w:rPr>
          <w:rFonts w:eastAsia="Times New Roman" w:cstheme="minorHAnsi"/>
          <w:sz w:val="24"/>
          <w:szCs w:val="24"/>
          <w:u w:val="single"/>
        </w:rPr>
        <w:t xml:space="preserve"> - </w:t>
      </w:r>
      <w:bookmarkStart w:id="0" w:name="73"/>
      <w:r w:rsidR="00B00AB7" w:rsidRPr="00D8473E">
        <w:rPr>
          <w:rFonts w:cstheme="minorHAnsi"/>
          <w:sz w:val="24"/>
          <w:szCs w:val="24"/>
          <w:u w:val="single"/>
        </w:rPr>
        <w:t>Assenza di responsabilità della pubblica amministrazione</w:t>
      </w:r>
      <w:bookmarkEnd w:id="0"/>
      <w:r w:rsidR="00D8473E" w:rsidRPr="00D8473E">
        <w:rPr>
          <w:rFonts w:cstheme="minorHAnsi"/>
          <w:sz w:val="24"/>
          <w:szCs w:val="24"/>
          <w:u w:val="single"/>
        </w:rPr>
        <w:t>,</w:t>
      </w:r>
      <w:r w:rsidR="001B1BFA" w:rsidRPr="00D8473E">
        <w:rPr>
          <w:rFonts w:eastAsia="Times New Roman" w:cstheme="minorHAnsi"/>
          <w:sz w:val="24"/>
          <w:szCs w:val="24"/>
        </w:rPr>
        <w:t xml:space="preserve"> esonera le pubbliche amministrazioni e i loro dipendenti, salvi i casi di dolo e colpa grave, da ogni responsabilità per gli atti emanati a causa di false dichiarazioni</w:t>
      </w:r>
      <w:r w:rsidR="001B1BFA" w:rsidRPr="00D8473E">
        <w:rPr>
          <w:rFonts w:eastAsia="Times New Roman" w:cstheme="minorHAnsi"/>
          <w:sz w:val="24"/>
          <w:szCs w:val="24"/>
        </w:rPr>
        <w:t>;</w:t>
      </w:r>
      <w:r w:rsidR="001B1BFA" w:rsidRPr="00D8473E">
        <w:rPr>
          <w:rFonts w:eastAsia="Times New Roman" w:cstheme="minorHAnsi"/>
          <w:sz w:val="24"/>
          <w:szCs w:val="24"/>
        </w:rPr>
        <w:t xml:space="preserve"> </w:t>
      </w:r>
    </w:p>
    <w:p w14:paraId="348E893C" w14:textId="40EE41CE" w:rsidR="001B1BFA" w:rsidRPr="00D8473E" w:rsidRDefault="001B1BFA" w:rsidP="001B1BF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2F93">
        <w:rPr>
          <w:rFonts w:eastAsia="Times New Roman" w:cstheme="minorHAnsi"/>
          <w:sz w:val="24"/>
          <w:szCs w:val="24"/>
        </w:rPr>
        <w:t>l’</w:t>
      </w:r>
      <w:r w:rsidRPr="00852F93">
        <w:rPr>
          <w:rFonts w:eastAsia="Times New Roman" w:cstheme="minorHAnsi"/>
          <w:sz w:val="24"/>
          <w:szCs w:val="24"/>
          <w:u w:val="single"/>
        </w:rPr>
        <w:t>A</w:t>
      </w:r>
      <w:r w:rsidRPr="00D8473E">
        <w:rPr>
          <w:rFonts w:eastAsia="Times New Roman" w:cstheme="minorHAnsi"/>
          <w:sz w:val="24"/>
          <w:szCs w:val="24"/>
          <w:u w:val="single"/>
        </w:rPr>
        <w:t xml:space="preserve">rticolo 74 </w:t>
      </w:r>
      <w:r w:rsidR="00D8473E" w:rsidRPr="00D8473E">
        <w:rPr>
          <w:rFonts w:eastAsia="Times New Roman" w:cstheme="minorHAnsi"/>
          <w:sz w:val="24"/>
          <w:szCs w:val="24"/>
          <w:u w:val="single"/>
        </w:rPr>
        <w:t xml:space="preserve">- </w:t>
      </w:r>
      <w:bookmarkStart w:id="1" w:name="74"/>
      <w:r w:rsidR="00D8473E" w:rsidRPr="00D8473E">
        <w:rPr>
          <w:rFonts w:cstheme="minorHAnsi"/>
          <w:sz w:val="24"/>
          <w:szCs w:val="24"/>
          <w:u w:val="single"/>
        </w:rPr>
        <w:t>Violazione dei doveri d’ufficio</w:t>
      </w:r>
      <w:bookmarkEnd w:id="1"/>
      <w:r w:rsidR="00D8473E" w:rsidRPr="00D8473E">
        <w:rPr>
          <w:rFonts w:cstheme="minorHAnsi"/>
          <w:sz w:val="24"/>
          <w:szCs w:val="24"/>
          <w:u w:val="single"/>
        </w:rPr>
        <w:t>,</w:t>
      </w:r>
      <w:r w:rsidR="00D8473E" w:rsidRPr="00D8473E">
        <w:rPr>
          <w:rFonts w:ascii="Calibri" w:hAnsi="Calibri" w:cs="Calibri"/>
          <w:b/>
          <w:bCs/>
          <w:shd w:val="clear" w:color="auto" w:fill="F5FDFE"/>
        </w:rPr>
        <w:t xml:space="preserve"> </w:t>
      </w:r>
      <w:r w:rsidRPr="00D8473E">
        <w:rPr>
          <w:rFonts w:eastAsia="Times New Roman" w:cstheme="minorHAnsi"/>
          <w:sz w:val="24"/>
          <w:szCs w:val="24"/>
        </w:rPr>
        <w:t>specifica che costituisce violazione dei doveri d’ufficio la mancata accettazione delle dichiarazioni sostitutive</w:t>
      </w:r>
      <w:r w:rsidRPr="00D8473E">
        <w:rPr>
          <w:rFonts w:eastAsia="Times New Roman" w:cstheme="minorHAnsi"/>
          <w:sz w:val="24"/>
          <w:szCs w:val="24"/>
        </w:rPr>
        <w:t>;</w:t>
      </w:r>
    </w:p>
    <w:p w14:paraId="336D680E" w14:textId="5510BA6B" w:rsidR="000D7607" w:rsidRPr="000F7787" w:rsidRDefault="00D724EE" w:rsidP="0071062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8473E">
        <w:rPr>
          <w:rFonts w:cstheme="minorHAnsi"/>
          <w:sz w:val="24"/>
          <w:szCs w:val="24"/>
        </w:rPr>
        <w:t>l’</w:t>
      </w:r>
      <w:r w:rsidR="00E41D4E" w:rsidRPr="00D8473E">
        <w:rPr>
          <w:rFonts w:cstheme="minorHAnsi"/>
          <w:sz w:val="24"/>
          <w:szCs w:val="24"/>
          <w:u w:val="single"/>
        </w:rPr>
        <w:t xml:space="preserve">Articolo </w:t>
      </w:r>
      <w:r w:rsidR="00D92593" w:rsidRPr="00D8473E">
        <w:rPr>
          <w:rFonts w:cstheme="minorHAnsi"/>
          <w:sz w:val="24"/>
          <w:szCs w:val="24"/>
          <w:u w:val="single"/>
        </w:rPr>
        <w:t xml:space="preserve">76 </w:t>
      </w:r>
      <w:r w:rsidR="00695AE2" w:rsidRPr="00D8473E">
        <w:rPr>
          <w:rFonts w:cstheme="minorHAnsi"/>
          <w:sz w:val="24"/>
          <w:szCs w:val="24"/>
          <w:u w:val="single"/>
        </w:rPr>
        <w:t xml:space="preserve">- </w:t>
      </w:r>
      <w:r w:rsidR="00D92593" w:rsidRPr="00D8473E">
        <w:rPr>
          <w:rFonts w:cstheme="minorHAnsi"/>
          <w:sz w:val="24"/>
          <w:szCs w:val="24"/>
          <w:u w:val="single"/>
        </w:rPr>
        <w:t>Norme penali</w:t>
      </w:r>
      <w:r w:rsidR="00D8473E" w:rsidRPr="00D8473E">
        <w:rPr>
          <w:rFonts w:cstheme="minorHAnsi"/>
          <w:sz w:val="24"/>
          <w:szCs w:val="24"/>
          <w:u w:val="single"/>
        </w:rPr>
        <w:t>,</w:t>
      </w:r>
      <w:r w:rsidR="000D7607" w:rsidRPr="00D8473E">
        <w:rPr>
          <w:rFonts w:cstheme="minorHAnsi"/>
          <w:sz w:val="24"/>
          <w:szCs w:val="24"/>
        </w:rPr>
        <w:t xml:space="preserve"> specifica che “</w:t>
      </w:r>
      <w:r w:rsidRPr="00D8473E">
        <w:rPr>
          <w:rFonts w:cstheme="minorHAnsi"/>
          <w:sz w:val="24"/>
          <w:szCs w:val="24"/>
        </w:rPr>
        <w:t>c</w:t>
      </w:r>
      <w:r w:rsidR="000D7607" w:rsidRPr="00D8473E">
        <w:rPr>
          <w:rFonts w:cstheme="minorHAnsi"/>
          <w:i/>
          <w:iCs/>
          <w:sz w:val="24"/>
          <w:szCs w:val="24"/>
        </w:rPr>
        <w:t xml:space="preserve">hiunque rilascia dichiarazioni mendaci, forma </w:t>
      </w:r>
      <w:r w:rsidR="000D7607" w:rsidRPr="00710626">
        <w:rPr>
          <w:rFonts w:cstheme="minorHAnsi"/>
          <w:i/>
          <w:iCs/>
          <w:sz w:val="24"/>
          <w:szCs w:val="24"/>
        </w:rPr>
        <w:t xml:space="preserve">atti falsi o ne fa uso nei casi previsti dal presente testo unico </w:t>
      </w:r>
      <w:r w:rsidR="00710626" w:rsidRPr="00710626">
        <w:rPr>
          <w:rFonts w:cstheme="minorHAnsi"/>
          <w:i/>
          <w:iCs/>
          <w:sz w:val="24"/>
          <w:szCs w:val="24"/>
        </w:rPr>
        <w:t>è</w:t>
      </w:r>
      <w:r w:rsidR="000D7607" w:rsidRPr="00710626">
        <w:rPr>
          <w:rFonts w:cstheme="minorHAnsi"/>
          <w:i/>
          <w:iCs/>
          <w:sz w:val="24"/>
          <w:szCs w:val="24"/>
        </w:rPr>
        <w:t xml:space="preserve"> punito ai sensi del </w:t>
      </w:r>
      <w:hyperlink r:id="rId5" w:tgtFrame="_blank" w:history="1">
        <w:r w:rsidR="000D7607" w:rsidRPr="00710626">
          <w:rPr>
            <w:rFonts w:cstheme="minorHAnsi"/>
            <w:i/>
            <w:iCs/>
            <w:sz w:val="24"/>
            <w:szCs w:val="24"/>
          </w:rPr>
          <w:t>codice penale</w:t>
        </w:r>
      </w:hyperlink>
      <w:r w:rsidR="000D7607" w:rsidRPr="00710626">
        <w:rPr>
          <w:rFonts w:cstheme="minorHAnsi"/>
          <w:i/>
          <w:iCs/>
          <w:sz w:val="24"/>
          <w:szCs w:val="24"/>
        </w:rPr>
        <w:t xml:space="preserve"> e delle leggi speciali in </w:t>
      </w:r>
      <w:r w:rsidR="000D7607" w:rsidRPr="000F7787">
        <w:rPr>
          <w:rFonts w:cstheme="minorHAnsi"/>
          <w:i/>
          <w:iCs/>
          <w:sz w:val="24"/>
          <w:szCs w:val="24"/>
        </w:rPr>
        <w:t>materia</w:t>
      </w:r>
      <w:r w:rsidR="00710626" w:rsidRPr="000F7787">
        <w:rPr>
          <w:rFonts w:cstheme="minorHAnsi"/>
          <w:sz w:val="24"/>
          <w:szCs w:val="24"/>
        </w:rPr>
        <w:t>.</w:t>
      </w:r>
      <w:r w:rsidR="00484122" w:rsidRPr="000F7787">
        <w:rPr>
          <w:rFonts w:cstheme="minorHAnsi"/>
          <w:sz w:val="24"/>
          <w:szCs w:val="24"/>
        </w:rPr>
        <w:t>”</w:t>
      </w:r>
    </w:p>
    <w:p w14:paraId="5C2E896E" w14:textId="306AF378" w:rsidR="00ED253F" w:rsidRPr="00FE314B" w:rsidRDefault="00ED253F" w:rsidP="00FA06F2">
      <w:pPr>
        <w:spacing w:before="240" w:after="120" w:line="240" w:lineRule="auto"/>
        <w:rPr>
          <w:rFonts w:cstheme="minorHAnsi"/>
          <w:b/>
          <w:bCs/>
          <w:sz w:val="28"/>
          <w:szCs w:val="28"/>
        </w:rPr>
      </w:pPr>
      <w:r w:rsidRPr="00FE314B">
        <w:rPr>
          <w:rFonts w:cstheme="minorHAnsi"/>
          <w:b/>
          <w:bCs/>
          <w:sz w:val="28"/>
          <w:szCs w:val="28"/>
        </w:rPr>
        <w:t>Quando</w:t>
      </w:r>
    </w:p>
    <w:p w14:paraId="56531514" w14:textId="7B2E57F5" w:rsidR="002114D9" w:rsidRPr="00FE314B" w:rsidRDefault="007C419D" w:rsidP="001D21A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>È</w:t>
      </w:r>
      <w:r w:rsidR="002114D9" w:rsidRPr="00FE314B">
        <w:rPr>
          <w:rFonts w:cstheme="minorHAnsi"/>
          <w:sz w:val="24"/>
          <w:szCs w:val="24"/>
        </w:rPr>
        <w:t xml:space="preserve"> necessaria quando la pratica viene presentata da persona diversa </w:t>
      </w:r>
      <w:r w:rsidR="001E47FC" w:rsidRPr="00FE314B">
        <w:rPr>
          <w:rFonts w:cstheme="minorHAnsi"/>
          <w:sz w:val="24"/>
          <w:szCs w:val="24"/>
        </w:rPr>
        <w:t>dal titolare</w:t>
      </w:r>
      <w:r w:rsidR="00C2764A" w:rsidRPr="00FE314B">
        <w:rPr>
          <w:rFonts w:cstheme="minorHAnsi"/>
          <w:sz w:val="24"/>
          <w:szCs w:val="24"/>
        </w:rPr>
        <w:t>/i</w:t>
      </w:r>
      <w:r w:rsidR="001E47FC" w:rsidRPr="00FE314B">
        <w:rPr>
          <w:rFonts w:cstheme="minorHAnsi"/>
          <w:sz w:val="24"/>
          <w:szCs w:val="24"/>
        </w:rPr>
        <w:t xml:space="preserve"> o legale</w:t>
      </w:r>
      <w:r w:rsidR="00C2764A" w:rsidRPr="00FE314B">
        <w:rPr>
          <w:rFonts w:cstheme="minorHAnsi"/>
          <w:sz w:val="24"/>
          <w:szCs w:val="24"/>
        </w:rPr>
        <w:t>/i</w:t>
      </w:r>
      <w:r w:rsidR="001E47FC" w:rsidRPr="00FE314B">
        <w:rPr>
          <w:rFonts w:cstheme="minorHAnsi"/>
          <w:sz w:val="24"/>
          <w:szCs w:val="24"/>
        </w:rPr>
        <w:t xml:space="preserve"> rappresentante</w:t>
      </w:r>
      <w:r w:rsidR="00C2764A" w:rsidRPr="00FE314B">
        <w:rPr>
          <w:rFonts w:cstheme="minorHAnsi"/>
          <w:sz w:val="24"/>
          <w:szCs w:val="24"/>
        </w:rPr>
        <w:t>/i</w:t>
      </w:r>
      <w:r w:rsidR="001E47FC" w:rsidRPr="00FE314B">
        <w:rPr>
          <w:rFonts w:cstheme="minorHAnsi"/>
          <w:sz w:val="24"/>
          <w:szCs w:val="24"/>
        </w:rPr>
        <w:t>.</w:t>
      </w:r>
    </w:p>
    <w:p w14:paraId="11797B3B" w14:textId="7A90C692" w:rsidR="001E47FC" w:rsidRPr="00FE314B" w:rsidRDefault="001E47FC" w:rsidP="001D21A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>Nel caso in cui quest</w:t>
      </w:r>
      <w:r w:rsidR="00625214" w:rsidRPr="00FE314B">
        <w:rPr>
          <w:rFonts w:cstheme="minorHAnsi"/>
          <w:sz w:val="24"/>
          <w:szCs w:val="24"/>
        </w:rPr>
        <w:t xml:space="preserve">i </w:t>
      </w:r>
      <w:r w:rsidRPr="00FE314B">
        <w:rPr>
          <w:rFonts w:cstheme="minorHAnsi"/>
          <w:sz w:val="24"/>
          <w:szCs w:val="24"/>
        </w:rPr>
        <w:t>ultim</w:t>
      </w:r>
      <w:r w:rsidR="00625214" w:rsidRPr="00FE314B">
        <w:rPr>
          <w:rFonts w:cstheme="minorHAnsi"/>
          <w:sz w:val="24"/>
          <w:szCs w:val="24"/>
        </w:rPr>
        <w:t>i</w:t>
      </w:r>
      <w:r w:rsidR="00A35810" w:rsidRPr="00FE314B">
        <w:rPr>
          <w:rFonts w:cstheme="minorHAnsi"/>
          <w:sz w:val="24"/>
          <w:szCs w:val="24"/>
        </w:rPr>
        <w:t xml:space="preserve"> siano sprovvisti di firma digitale, potranno conferire </w:t>
      </w:r>
      <w:r w:rsidR="00A35810" w:rsidRPr="00FE314B">
        <w:rPr>
          <w:rFonts w:cstheme="minorHAnsi"/>
          <w:b/>
          <w:bCs/>
          <w:sz w:val="24"/>
          <w:szCs w:val="24"/>
        </w:rPr>
        <w:t>Procura speciale</w:t>
      </w:r>
      <w:r w:rsidR="00A35810" w:rsidRPr="00FE314B">
        <w:rPr>
          <w:rFonts w:cstheme="minorHAnsi"/>
          <w:sz w:val="24"/>
          <w:szCs w:val="24"/>
        </w:rPr>
        <w:t xml:space="preserve"> ad un altro soggetto-professionista</w:t>
      </w:r>
      <w:r w:rsidR="00511F74" w:rsidRPr="00FE314B">
        <w:rPr>
          <w:rFonts w:cstheme="minorHAnsi"/>
          <w:sz w:val="24"/>
          <w:szCs w:val="24"/>
        </w:rPr>
        <w:t>, per la sottoscrizione digitale</w:t>
      </w:r>
      <w:r w:rsidR="008C3095" w:rsidRPr="00FE314B">
        <w:rPr>
          <w:rFonts w:cstheme="minorHAnsi"/>
          <w:sz w:val="24"/>
          <w:szCs w:val="24"/>
        </w:rPr>
        <w:t xml:space="preserve"> e la presentazione</w:t>
      </w:r>
      <w:r w:rsidR="00C4084F" w:rsidRPr="00FE314B">
        <w:rPr>
          <w:rFonts w:cstheme="minorHAnsi"/>
          <w:sz w:val="24"/>
          <w:szCs w:val="24"/>
        </w:rPr>
        <w:t xml:space="preserve"> </w:t>
      </w:r>
      <w:r w:rsidR="00D46BB3" w:rsidRPr="00FE314B">
        <w:rPr>
          <w:rFonts w:cstheme="minorHAnsi"/>
          <w:sz w:val="24"/>
          <w:szCs w:val="24"/>
        </w:rPr>
        <w:t>telematica</w:t>
      </w:r>
      <w:r w:rsidR="00C4084F" w:rsidRPr="00FE314B">
        <w:rPr>
          <w:rFonts w:cstheme="minorHAnsi"/>
          <w:sz w:val="24"/>
          <w:szCs w:val="24"/>
        </w:rPr>
        <w:t xml:space="preserve"> della documentazione relativa all’attività </w:t>
      </w:r>
      <w:r w:rsidR="003A410A" w:rsidRPr="00FE314B">
        <w:rPr>
          <w:rFonts w:cstheme="minorHAnsi"/>
          <w:sz w:val="24"/>
          <w:szCs w:val="24"/>
        </w:rPr>
        <w:t xml:space="preserve">edilizia </w:t>
      </w:r>
      <w:r w:rsidR="00C4084F" w:rsidRPr="00FE314B">
        <w:rPr>
          <w:rFonts w:cstheme="minorHAnsi"/>
          <w:sz w:val="24"/>
          <w:szCs w:val="24"/>
        </w:rPr>
        <w:t>che deve essere avviata, modificata o trasformata</w:t>
      </w:r>
      <w:r w:rsidR="00AA6221" w:rsidRPr="00FE314B">
        <w:rPr>
          <w:rFonts w:cstheme="minorHAnsi"/>
          <w:sz w:val="24"/>
          <w:szCs w:val="24"/>
        </w:rPr>
        <w:t>.</w:t>
      </w:r>
    </w:p>
    <w:p w14:paraId="67DDD78A" w14:textId="79A7815F" w:rsidR="001C04C3" w:rsidRPr="00FE314B" w:rsidRDefault="008532A2" w:rsidP="00FA06F2">
      <w:pPr>
        <w:spacing w:before="240" w:after="120" w:line="240" w:lineRule="auto"/>
        <w:rPr>
          <w:rFonts w:cstheme="minorHAnsi"/>
          <w:b/>
          <w:bCs/>
          <w:sz w:val="28"/>
          <w:szCs w:val="28"/>
        </w:rPr>
      </w:pPr>
      <w:r w:rsidRPr="00FE314B">
        <w:rPr>
          <w:rFonts w:cstheme="minorHAnsi"/>
          <w:b/>
          <w:bCs/>
          <w:sz w:val="28"/>
          <w:szCs w:val="28"/>
        </w:rPr>
        <w:lastRenderedPageBreak/>
        <w:t>C</w:t>
      </w:r>
      <w:bookmarkStart w:id="2" w:name="_Hlk117155216"/>
      <w:r w:rsidRPr="00FE314B">
        <w:rPr>
          <w:rFonts w:cstheme="minorHAnsi"/>
          <w:b/>
          <w:bCs/>
          <w:sz w:val="28"/>
          <w:szCs w:val="28"/>
        </w:rPr>
        <w:t>ome</w:t>
      </w:r>
    </w:p>
    <w:p w14:paraId="33BFE08F" w14:textId="72425B94" w:rsidR="00067CBC" w:rsidRPr="00FE314B" w:rsidRDefault="008532A2" w:rsidP="003F3C51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>I</w:t>
      </w:r>
      <w:bookmarkEnd w:id="2"/>
      <w:r w:rsidRPr="00FE314B">
        <w:rPr>
          <w:rFonts w:cstheme="minorHAnsi"/>
          <w:sz w:val="24"/>
          <w:szCs w:val="24"/>
        </w:rPr>
        <w:t xml:space="preserve">l modulo </w:t>
      </w:r>
      <w:r w:rsidR="005C0F75" w:rsidRPr="00FE314B">
        <w:rPr>
          <w:rFonts w:cstheme="minorHAnsi"/>
          <w:sz w:val="24"/>
          <w:szCs w:val="24"/>
        </w:rPr>
        <w:t>della Procura speciale</w:t>
      </w:r>
      <w:r w:rsidR="00067CBC" w:rsidRPr="00FE314B">
        <w:rPr>
          <w:rFonts w:cstheme="minorHAnsi"/>
          <w:sz w:val="24"/>
          <w:szCs w:val="24"/>
        </w:rPr>
        <w:t xml:space="preserve"> deve essere:</w:t>
      </w:r>
    </w:p>
    <w:p w14:paraId="692FBBD5" w14:textId="310F81FD" w:rsidR="008532A2" w:rsidRPr="00FE314B" w:rsidRDefault="00DD2B88" w:rsidP="00D46BB3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 xml:space="preserve">compilato e sottoscritto in originale con firma </w:t>
      </w:r>
      <w:r w:rsidR="000320FF" w:rsidRPr="00FE314B">
        <w:rPr>
          <w:rFonts w:cstheme="minorHAnsi"/>
          <w:sz w:val="24"/>
          <w:szCs w:val="24"/>
        </w:rPr>
        <w:t xml:space="preserve">autografa </w:t>
      </w:r>
      <w:r w:rsidRPr="00FE314B">
        <w:rPr>
          <w:rFonts w:cstheme="minorHAnsi"/>
          <w:sz w:val="24"/>
          <w:szCs w:val="24"/>
        </w:rPr>
        <w:t xml:space="preserve">di tutti gli aventi </w:t>
      </w:r>
      <w:r w:rsidR="009631D3" w:rsidRPr="00FE314B">
        <w:rPr>
          <w:rFonts w:cstheme="minorHAnsi"/>
          <w:sz w:val="24"/>
          <w:szCs w:val="24"/>
        </w:rPr>
        <w:t>titolo e consegnato al professionista/soggetto procuratore</w:t>
      </w:r>
      <w:r w:rsidR="00CB51E1">
        <w:rPr>
          <w:rFonts w:cstheme="minorHAnsi"/>
          <w:sz w:val="24"/>
          <w:szCs w:val="24"/>
        </w:rPr>
        <w:t>;</w:t>
      </w:r>
    </w:p>
    <w:p w14:paraId="4AF390FA" w14:textId="785D5EEC" w:rsidR="009631D3" w:rsidRPr="00FE314B" w:rsidRDefault="009631D3" w:rsidP="00D46BB3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 xml:space="preserve">acquisito digitalmente tramite scansione in formato pdf e sottoscritto dal procuratore </w:t>
      </w:r>
      <w:r w:rsidR="00601C66" w:rsidRPr="00FE314B">
        <w:rPr>
          <w:rFonts w:cstheme="minorHAnsi"/>
          <w:sz w:val="24"/>
          <w:szCs w:val="24"/>
        </w:rPr>
        <w:t xml:space="preserve">con </w:t>
      </w:r>
      <w:r w:rsidRPr="00FE314B">
        <w:rPr>
          <w:rFonts w:cstheme="minorHAnsi"/>
          <w:sz w:val="24"/>
          <w:szCs w:val="24"/>
        </w:rPr>
        <w:t>firma digitale</w:t>
      </w:r>
      <w:r w:rsidR="00CB51E1">
        <w:rPr>
          <w:rFonts w:cstheme="minorHAnsi"/>
          <w:sz w:val="24"/>
          <w:szCs w:val="24"/>
        </w:rPr>
        <w:t>;</w:t>
      </w:r>
    </w:p>
    <w:p w14:paraId="144A50AD" w14:textId="2CD95057" w:rsidR="00EB7E89" w:rsidRPr="00FE314B" w:rsidRDefault="00EB7E89" w:rsidP="00D46BB3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 xml:space="preserve"> sempre </w:t>
      </w:r>
      <w:r w:rsidR="001E53C9" w:rsidRPr="00FE314B">
        <w:rPr>
          <w:rFonts w:cstheme="minorHAnsi"/>
          <w:sz w:val="24"/>
          <w:szCs w:val="24"/>
        </w:rPr>
        <w:t xml:space="preserve">accompagnato dalla </w:t>
      </w:r>
      <w:r w:rsidRPr="00FE314B">
        <w:rPr>
          <w:rFonts w:cstheme="minorHAnsi"/>
          <w:sz w:val="24"/>
          <w:szCs w:val="24"/>
        </w:rPr>
        <w:t xml:space="preserve"> copia informatica, tramite scansione in formato pdf, di un documento di identità valido del sottoscrittore</w:t>
      </w:r>
      <w:r w:rsidR="003F4ECA" w:rsidRPr="00FE314B">
        <w:rPr>
          <w:rFonts w:cstheme="minorHAnsi"/>
          <w:sz w:val="24"/>
          <w:szCs w:val="24"/>
        </w:rPr>
        <w:t xml:space="preserve"> e dei </w:t>
      </w:r>
      <w:r w:rsidR="00BB5D7B" w:rsidRPr="00FE314B">
        <w:rPr>
          <w:rFonts w:cstheme="minorHAnsi"/>
          <w:sz w:val="24"/>
          <w:szCs w:val="24"/>
        </w:rPr>
        <w:t>titolari che conferiscono la procura</w:t>
      </w:r>
      <w:r w:rsidR="005E5BEC" w:rsidRPr="00FE314B">
        <w:rPr>
          <w:rFonts w:cstheme="minorHAnsi"/>
          <w:sz w:val="24"/>
          <w:szCs w:val="24"/>
        </w:rPr>
        <w:t>;</w:t>
      </w:r>
    </w:p>
    <w:p w14:paraId="287D9CF8" w14:textId="0C88191D" w:rsidR="00534AD8" w:rsidRPr="00FE314B" w:rsidRDefault="00534AD8" w:rsidP="003F3C51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E314B">
        <w:rPr>
          <w:rFonts w:cstheme="minorHAnsi"/>
          <w:sz w:val="24"/>
          <w:szCs w:val="24"/>
        </w:rPr>
        <w:t>Gli originali devono essere conservati dal professionista/soggetto procuratore</w:t>
      </w:r>
      <w:r w:rsidR="00445D79" w:rsidRPr="00FE314B">
        <w:rPr>
          <w:rFonts w:cstheme="minorHAnsi"/>
          <w:sz w:val="24"/>
          <w:szCs w:val="24"/>
        </w:rPr>
        <w:t xml:space="preserve"> per un periodo di </w:t>
      </w:r>
      <w:r w:rsidR="003A6B24" w:rsidRPr="00FE314B">
        <w:rPr>
          <w:rFonts w:cstheme="minorHAnsi"/>
          <w:sz w:val="24"/>
          <w:szCs w:val="24"/>
        </w:rPr>
        <w:t>dieci</w:t>
      </w:r>
      <w:r w:rsidR="00445D79" w:rsidRPr="00FE314B">
        <w:rPr>
          <w:rFonts w:cstheme="minorHAnsi"/>
          <w:sz w:val="24"/>
          <w:szCs w:val="24"/>
        </w:rPr>
        <w:t xml:space="preserve"> anni</w:t>
      </w:r>
      <w:r w:rsidRPr="00FE314B">
        <w:rPr>
          <w:rFonts w:cstheme="minorHAnsi"/>
          <w:sz w:val="24"/>
          <w:szCs w:val="24"/>
        </w:rPr>
        <w:t>, resi disponibili ed esibiti in caso di richiesta</w:t>
      </w:r>
      <w:r w:rsidR="002002F5" w:rsidRPr="00FE314B">
        <w:rPr>
          <w:rFonts w:cstheme="minorHAnsi"/>
          <w:sz w:val="24"/>
          <w:szCs w:val="24"/>
        </w:rPr>
        <w:t xml:space="preserve"> da parte del Comune ricevente</w:t>
      </w:r>
      <w:r w:rsidR="00903626" w:rsidRPr="00FE314B">
        <w:rPr>
          <w:rFonts w:cstheme="minorHAnsi"/>
          <w:sz w:val="24"/>
          <w:szCs w:val="24"/>
        </w:rPr>
        <w:t>.</w:t>
      </w:r>
    </w:p>
    <w:sectPr w:rsidR="00534AD8" w:rsidRPr="00FE3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568"/>
    <w:multiLevelType w:val="hybridMultilevel"/>
    <w:tmpl w:val="1E8E7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36F"/>
    <w:multiLevelType w:val="hybridMultilevel"/>
    <w:tmpl w:val="69B22C58"/>
    <w:lvl w:ilvl="0" w:tplc="B7DCFA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526C"/>
    <w:multiLevelType w:val="hybridMultilevel"/>
    <w:tmpl w:val="7E447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EF2BC"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48C6"/>
    <w:multiLevelType w:val="hybridMultilevel"/>
    <w:tmpl w:val="543019FA"/>
    <w:lvl w:ilvl="0" w:tplc="B7DCFA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7134F"/>
    <w:multiLevelType w:val="hybridMultilevel"/>
    <w:tmpl w:val="0BB0C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875E9"/>
    <w:multiLevelType w:val="hybridMultilevel"/>
    <w:tmpl w:val="A0404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122999">
    <w:abstractNumId w:val="0"/>
  </w:num>
  <w:num w:numId="2" w16cid:durableId="334574914">
    <w:abstractNumId w:val="3"/>
  </w:num>
  <w:num w:numId="3" w16cid:durableId="1120957313">
    <w:abstractNumId w:val="2"/>
  </w:num>
  <w:num w:numId="4" w16cid:durableId="662128424">
    <w:abstractNumId w:val="1"/>
  </w:num>
  <w:num w:numId="5" w16cid:durableId="1784306977">
    <w:abstractNumId w:val="4"/>
  </w:num>
  <w:num w:numId="6" w16cid:durableId="95135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31"/>
    <w:rsid w:val="00030D52"/>
    <w:rsid w:val="000320FF"/>
    <w:rsid w:val="00036AA7"/>
    <w:rsid w:val="00044C13"/>
    <w:rsid w:val="00056384"/>
    <w:rsid w:val="00060CD0"/>
    <w:rsid w:val="00067CBC"/>
    <w:rsid w:val="00083602"/>
    <w:rsid w:val="000A175A"/>
    <w:rsid w:val="000D7259"/>
    <w:rsid w:val="000D7607"/>
    <w:rsid w:val="000F50D9"/>
    <w:rsid w:val="000F7787"/>
    <w:rsid w:val="00110CE5"/>
    <w:rsid w:val="00147B6D"/>
    <w:rsid w:val="00165642"/>
    <w:rsid w:val="00197F30"/>
    <w:rsid w:val="001B1BFA"/>
    <w:rsid w:val="001B2E93"/>
    <w:rsid w:val="001C04C3"/>
    <w:rsid w:val="001D21A3"/>
    <w:rsid w:val="001D5E34"/>
    <w:rsid w:val="001E47FC"/>
    <w:rsid w:val="001E53C9"/>
    <w:rsid w:val="002002F5"/>
    <w:rsid w:val="00202AE4"/>
    <w:rsid w:val="002114D9"/>
    <w:rsid w:val="00242859"/>
    <w:rsid w:val="002641DC"/>
    <w:rsid w:val="00274F4F"/>
    <w:rsid w:val="002A18B9"/>
    <w:rsid w:val="002B3D29"/>
    <w:rsid w:val="00330EF8"/>
    <w:rsid w:val="003402D7"/>
    <w:rsid w:val="00354165"/>
    <w:rsid w:val="00374169"/>
    <w:rsid w:val="003765D2"/>
    <w:rsid w:val="003A410A"/>
    <w:rsid w:val="003A6B24"/>
    <w:rsid w:val="003C30BA"/>
    <w:rsid w:val="003F3C51"/>
    <w:rsid w:val="003F4ECA"/>
    <w:rsid w:val="00445D79"/>
    <w:rsid w:val="00484122"/>
    <w:rsid w:val="0049684B"/>
    <w:rsid w:val="004A62C7"/>
    <w:rsid w:val="005100C9"/>
    <w:rsid w:val="00511F74"/>
    <w:rsid w:val="00517761"/>
    <w:rsid w:val="00520BA6"/>
    <w:rsid w:val="00530965"/>
    <w:rsid w:val="00534AD8"/>
    <w:rsid w:val="0055384E"/>
    <w:rsid w:val="00582831"/>
    <w:rsid w:val="005A6B94"/>
    <w:rsid w:val="005B369C"/>
    <w:rsid w:val="005B4ECE"/>
    <w:rsid w:val="005C0F75"/>
    <w:rsid w:val="005C643B"/>
    <w:rsid w:val="005E5BEC"/>
    <w:rsid w:val="00601C66"/>
    <w:rsid w:val="006068DC"/>
    <w:rsid w:val="00612FBA"/>
    <w:rsid w:val="006231C0"/>
    <w:rsid w:val="00625214"/>
    <w:rsid w:val="00681913"/>
    <w:rsid w:val="006820E1"/>
    <w:rsid w:val="00695AE2"/>
    <w:rsid w:val="006B47DA"/>
    <w:rsid w:val="00710626"/>
    <w:rsid w:val="00712EB2"/>
    <w:rsid w:val="0075235B"/>
    <w:rsid w:val="0076591F"/>
    <w:rsid w:val="00767F25"/>
    <w:rsid w:val="00790DDC"/>
    <w:rsid w:val="00794478"/>
    <w:rsid w:val="00797F81"/>
    <w:rsid w:val="007A2BCA"/>
    <w:rsid w:val="007B1111"/>
    <w:rsid w:val="007C419D"/>
    <w:rsid w:val="007F218E"/>
    <w:rsid w:val="00804162"/>
    <w:rsid w:val="008463C7"/>
    <w:rsid w:val="00852F93"/>
    <w:rsid w:val="008532A2"/>
    <w:rsid w:val="008869F5"/>
    <w:rsid w:val="008A1818"/>
    <w:rsid w:val="008C3095"/>
    <w:rsid w:val="008D1721"/>
    <w:rsid w:val="008D1F73"/>
    <w:rsid w:val="00903626"/>
    <w:rsid w:val="009060D8"/>
    <w:rsid w:val="00912D04"/>
    <w:rsid w:val="00957724"/>
    <w:rsid w:val="009631D3"/>
    <w:rsid w:val="00964B18"/>
    <w:rsid w:val="009B0BA8"/>
    <w:rsid w:val="009F6116"/>
    <w:rsid w:val="00A13055"/>
    <w:rsid w:val="00A249AB"/>
    <w:rsid w:val="00A35810"/>
    <w:rsid w:val="00A6621A"/>
    <w:rsid w:val="00AA6221"/>
    <w:rsid w:val="00AF77B6"/>
    <w:rsid w:val="00B00AB7"/>
    <w:rsid w:val="00B37AF3"/>
    <w:rsid w:val="00B46136"/>
    <w:rsid w:val="00B467C6"/>
    <w:rsid w:val="00B53698"/>
    <w:rsid w:val="00B80FE6"/>
    <w:rsid w:val="00B97A33"/>
    <w:rsid w:val="00BB422B"/>
    <w:rsid w:val="00BB5D7B"/>
    <w:rsid w:val="00C2589C"/>
    <w:rsid w:val="00C271CF"/>
    <w:rsid w:val="00C2764A"/>
    <w:rsid w:val="00C35528"/>
    <w:rsid w:val="00C4084F"/>
    <w:rsid w:val="00C47D45"/>
    <w:rsid w:val="00C64FA0"/>
    <w:rsid w:val="00C80782"/>
    <w:rsid w:val="00CA2917"/>
    <w:rsid w:val="00CA2C06"/>
    <w:rsid w:val="00CB259E"/>
    <w:rsid w:val="00CB51E1"/>
    <w:rsid w:val="00CD1DD5"/>
    <w:rsid w:val="00D46BB3"/>
    <w:rsid w:val="00D47F33"/>
    <w:rsid w:val="00D724EE"/>
    <w:rsid w:val="00D8473E"/>
    <w:rsid w:val="00D856D7"/>
    <w:rsid w:val="00D92593"/>
    <w:rsid w:val="00D96512"/>
    <w:rsid w:val="00DD2B88"/>
    <w:rsid w:val="00DE64D5"/>
    <w:rsid w:val="00E11670"/>
    <w:rsid w:val="00E41D4E"/>
    <w:rsid w:val="00E52D83"/>
    <w:rsid w:val="00E97EF6"/>
    <w:rsid w:val="00EB0D90"/>
    <w:rsid w:val="00EB58CB"/>
    <w:rsid w:val="00EB7E89"/>
    <w:rsid w:val="00EC30B2"/>
    <w:rsid w:val="00EC53BB"/>
    <w:rsid w:val="00ED253F"/>
    <w:rsid w:val="00FA06F2"/>
    <w:rsid w:val="00FA4F1F"/>
    <w:rsid w:val="00FE314B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09C9"/>
  <w15:chartTrackingRefBased/>
  <w15:docId w15:val="{0F468FEB-DE4F-420C-A0E3-80AA3945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B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8191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1913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Revisione">
    <w:name w:val="Revision"/>
    <w:hidden/>
    <w:uiPriority w:val="99"/>
    <w:semiHidden/>
    <w:rsid w:val="000320FF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D760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41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41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1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codice.penale:1930-10-19;1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Maria Teresa Lauri</dc:creator>
  <cp:keywords/>
  <dc:description/>
  <cp:lastModifiedBy>Paola Maria Teresa Lauri</cp:lastModifiedBy>
  <cp:revision>11</cp:revision>
  <dcterms:created xsi:type="dcterms:W3CDTF">2022-10-24T10:26:00Z</dcterms:created>
  <dcterms:modified xsi:type="dcterms:W3CDTF">2022-10-26T12:25:00Z</dcterms:modified>
</cp:coreProperties>
</file>